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E0F8" w14:textId="77777777" w:rsidR="00534893" w:rsidRDefault="00534893" w:rsidP="00534893">
      <w:pPr>
        <w:pStyle w:val="Corpsdetexte"/>
        <w:spacing w:after="120" w:line="100" w:lineRule="atLeast"/>
        <w:ind w:left="0"/>
        <w:rPr>
          <w:rFonts w:ascii="Futura Std Book" w:hAnsi="Futura Std Book" w:cs="Times New Roman"/>
          <w:sz w:val="20"/>
          <w:szCs w:val="20"/>
        </w:rPr>
      </w:pPr>
    </w:p>
    <w:p w14:paraId="30C33002" w14:textId="77777777" w:rsidR="00534893" w:rsidRPr="00567892" w:rsidRDefault="00534893" w:rsidP="00534893">
      <w:pPr>
        <w:spacing w:after="120"/>
      </w:pPr>
    </w:p>
    <w:p w14:paraId="4B15931E" w14:textId="77777777" w:rsidR="00534893" w:rsidRPr="00534893" w:rsidRDefault="00534893" w:rsidP="00534893"/>
    <w:p w14:paraId="15B9D04D" w14:textId="77777777" w:rsidR="00534893" w:rsidRDefault="00534893" w:rsidP="00534893">
      <w:pPr>
        <w:pStyle w:val="Corpsdetexte"/>
        <w:spacing w:after="120" w:line="100" w:lineRule="atLeast"/>
        <w:ind w:left="0"/>
        <w:rPr>
          <w:rFonts w:ascii="Amatic SC" w:eastAsia="Calibri" w:hAnsi="Amatic SC" w:cs="Times New Roman"/>
          <w:b/>
          <w:color w:val="2C4751"/>
          <w:spacing w:val="20"/>
          <w:sz w:val="40"/>
          <w:szCs w:val="20"/>
          <w:lang w:eastAsia="en-US"/>
        </w:rPr>
      </w:pPr>
    </w:p>
    <w:p w14:paraId="1478CAC1" w14:textId="77777777" w:rsidR="00534893" w:rsidRPr="00D34C01" w:rsidRDefault="00534893" w:rsidP="00534893">
      <w:pPr>
        <w:pStyle w:val="Corpsdetexte"/>
        <w:spacing w:after="120" w:line="100" w:lineRule="atLeast"/>
        <w:ind w:left="0"/>
        <w:rPr>
          <w:rFonts w:ascii="Amatic SC" w:eastAsia="Calibri" w:hAnsi="Amatic SC" w:cs="Times New Roman"/>
          <w:b/>
          <w:color w:val="2C4751"/>
          <w:spacing w:val="20"/>
          <w:sz w:val="40"/>
          <w:szCs w:val="20"/>
          <w:lang w:eastAsia="en-US"/>
        </w:rPr>
      </w:pPr>
      <w:r>
        <w:rPr>
          <w:rFonts w:ascii="Amatic SC" w:eastAsia="Calibri" w:hAnsi="Amatic SC" w:cs="Times New Roman"/>
          <w:b/>
          <w:color w:val="2C4751"/>
          <w:spacing w:val="20"/>
          <w:sz w:val="40"/>
          <w:szCs w:val="20"/>
          <w:lang w:eastAsia="en-US"/>
        </w:rPr>
        <w:t>La Cour d’appel administrative de Marseille donne raison au CODEVER</w:t>
      </w:r>
    </w:p>
    <w:p w14:paraId="79070B1A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b/>
          <w:color w:val="2C4751"/>
          <w:sz w:val="20"/>
          <w:szCs w:val="20"/>
        </w:rPr>
      </w:pPr>
      <w:r>
        <w:rPr>
          <w:rFonts w:ascii="Futura Std Book" w:hAnsi="Futura Std Book"/>
          <w:b/>
          <w:color w:val="2C4751"/>
          <w:sz w:val="20"/>
          <w:szCs w:val="20"/>
        </w:rPr>
        <w:t xml:space="preserve">Par un arrêt rendu le 22 septembre, la </w:t>
      </w:r>
      <w:r w:rsidRPr="00462B56">
        <w:rPr>
          <w:rFonts w:ascii="Futura Std Book" w:hAnsi="Futura Std Book"/>
          <w:b/>
          <w:color w:val="2C4751"/>
          <w:sz w:val="20"/>
          <w:szCs w:val="20"/>
        </w:rPr>
        <w:t>Cour d’appel administrative de Marseille</w:t>
      </w:r>
      <w:r>
        <w:rPr>
          <w:rFonts w:ascii="Futura Std Book" w:hAnsi="Futura Std Book"/>
          <w:b/>
          <w:color w:val="2C4751"/>
          <w:sz w:val="20"/>
          <w:szCs w:val="20"/>
        </w:rPr>
        <w:t xml:space="preserve"> a tranché : l’Alta Rocca, randonnée bien connue proposée par les Grands Randonneurs Motorisés, n’est pas une concentration soumise à déclaration préalable.</w:t>
      </w:r>
    </w:p>
    <w:p w14:paraId="1E41DF1B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Enfin ! Après 3 ans de procédures, les Grands Randonneurs Motorisés (GRM) obtiennent gain de cause devant la justice administrative. Laquelle, par la même occasion, vient donner raison au CODEVER.</w:t>
      </w:r>
    </w:p>
    <w:p w14:paraId="6018CF9F" w14:textId="77777777" w:rsidR="00534893" w:rsidRPr="00E7435A" w:rsidRDefault="00534893" w:rsidP="00534893">
      <w:pPr>
        <w:spacing w:before="240" w:after="120" w:line="240" w:lineRule="auto"/>
        <w:jc w:val="both"/>
        <w:rPr>
          <w:rFonts w:ascii="Futura Std Book" w:hAnsi="Futura Std Book"/>
          <w:b/>
          <w:color w:val="2C4751"/>
          <w:sz w:val="20"/>
          <w:szCs w:val="20"/>
        </w:rPr>
      </w:pPr>
      <w:r w:rsidRPr="00E7435A">
        <w:rPr>
          <w:rFonts w:ascii="Futura Std Book" w:hAnsi="Futura Std Book"/>
          <w:b/>
          <w:color w:val="2C4751"/>
          <w:sz w:val="20"/>
          <w:szCs w:val="20"/>
        </w:rPr>
        <w:t>Rappel des faits</w:t>
      </w:r>
      <w:bookmarkStart w:id="0" w:name="_GoBack"/>
      <w:bookmarkEnd w:id="0"/>
    </w:p>
    <w:p w14:paraId="32E1E52C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Début septembre 2013, les préfets de Haute-Corse et de Corse du Sud prenaient chacun un arrêté interdisant le déroulement de l’Alta Rocca prévu du 1</w:t>
      </w:r>
      <w:r w:rsidRPr="001937A5">
        <w:rPr>
          <w:rFonts w:ascii="Futura Std Book" w:hAnsi="Futura Std Book"/>
          <w:color w:val="2C4751"/>
          <w:sz w:val="20"/>
          <w:szCs w:val="20"/>
          <w:vertAlign w:val="superscript"/>
        </w:rPr>
        <w:t>er</w:t>
      </w:r>
      <w:r>
        <w:rPr>
          <w:rFonts w:ascii="Futura Std Book" w:hAnsi="Futura Std Book"/>
          <w:color w:val="2C4751"/>
          <w:sz w:val="20"/>
          <w:szCs w:val="20"/>
        </w:rPr>
        <w:t xml:space="preserve"> au 6 octobre de la même année.</w:t>
      </w:r>
    </w:p>
    <w:p w14:paraId="1F219DBB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 w:rsidRPr="001937A5">
        <w:rPr>
          <w:rFonts w:ascii="Futura Std Book" w:hAnsi="Futura Std Book"/>
          <w:color w:val="2C4751"/>
          <w:sz w:val="20"/>
          <w:szCs w:val="20"/>
        </w:rPr>
        <w:t xml:space="preserve">Saisi </w:t>
      </w:r>
      <w:r>
        <w:rPr>
          <w:rFonts w:ascii="Futura Std Book" w:hAnsi="Futura Std Book"/>
          <w:color w:val="2C4751"/>
          <w:sz w:val="20"/>
          <w:szCs w:val="20"/>
        </w:rPr>
        <w:t xml:space="preserve">en urgence </w:t>
      </w:r>
      <w:r w:rsidRPr="001937A5">
        <w:rPr>
          <w:rFonts w:ascii="Futura Std Book" w:hAnsi="Futura Std Book"/>
          <w:color w:val="2C4751"/>
          <w:sz w:val="20"/>
          <w:szCs w:val="20"/>
        </w:rPr>
        <w:t xml:space="preserve">par les GRM avec l'appui du CODEVER, le Juge des Référés de Bastia </w:t>
      </w:r>
      <w:r>
        <w:rPr>
          <w:rFonts w:ascii="Futura Std Book" w:hAnsi="Futura Std Book"/>
          <w:color w:val="2C4751"/>
          <w:sz w:val="20"/>
          <w:szCs w:val="20"/>
        </w:rPr>
        <w:t>avait</w:t>
      </w:r>
      <w:r w:rsidRPr="001937A5">
        <w:rPr>
          <w:rFonts w:ascii="Futura Std Book" w:hAnsi="Futura Std Book"/>
          <w:color w:val="2C4751"/>
          <w:sz w:val="20"/>
          <w:szCs w:val="20"/>
        </w:rPr>
        <w:t xml:space="preserve"> </w:t>
      </w:r>
      <w:r>
        <w:rPr>
          <w:rFonts w:ascii="Futura Std Book" w:hAnsi="Futura Std Book"/>
          <w:color w:val="2C4751"/>
          <w:sz w:val="20"/>
          <w:szCs w:val="20"/>
        </w:rPr>
        <w:t>estimé</w:t>
      </w:r>
      <w:r w:rsidRPr="001937A5">
        <w:rPr>
          <w:rFonts w:ascii="Futura Std Book" w:hAnsi="Futura Std Book"/>
          <w:color w:val="2C4751"/>
          <w:sz w:val="20"/>
          <w:szCs w:val="20"/>
        </w:rPr>
        <w:t xml:space="preserve"> qu'il existait </w:t>
      </w:r>
      <w:r>
        <w:rPr>
          <w:rFonts w:ascii="Futura Std Book" w:hAnsi="Futura Std Book"/>
          <w:color w:val="2C4751"/>
          <w:sz w:val="20"/>
          <w:szCs w:val="20"/>
        </w:rPr>
        <w:t>« </w:t>
      </w:r>
      <w:r w:rsidRPr="001937A5">
        <w:rPr>
          <w:rFonts w:ascii="Futura Std Book" w:hAnsi="Futura Std Book"/>
          <w:color w:val="2C4751"/>
          <w:sz w:val="20"/>
          <w:szCs w:val="20"/>
        </w:rPr>
        <w:t>un doute sérieux quant à la légalité de l'acte attaqué</w:t>
      </w:r>
      <w:r>
        <w:rPr>
          <w:rFonts w:ascii="Futura Std Book" w:hAnsi="Futura Std Book"/>
          <w:color w:val="2C4751"/>
          <w:sz w:val="20"/>
          <w:szCs w:val="20"/>
        </w:rPr>
        <w:t> », et avait ordonné</w:t>
      </w:r>
      <w:r w:rsidRPr="001937A5">
        <w:rPr>
          <w:rFonts w:ascii="Futura Std Book" w:hAnsi="Futura Std Book"/>
          <w:color w:val="2C4751"/>
          <w:sz w:val="20"/>
          <w:szCs w:val="20"/>
        </w:rPr>
        <w:t xml:space="preserve"> la suspension de l'interdiction</w:t>
      </w:r>
      <w:r>
        <w:rPr>
          <w:rFonts w:ascii="Futura Std Book" w:hAnsi="Futura Std Book"/>
          <w:color w:val="2C4751"/>
          <w:sz w:val="20"/>
          <w:szCs w:val="20"/>
        </w:rPr>
        <w:t>. L’Alta Rocca avait pu avoir lieu.</w:t>
      </w:r>
    </w:p>
    <w:p w14:paraId="67ACD31E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Un référé se doublant forcément d’une procédure classique, l’affaire a ensuite été jugée par le Tribunal Administratif de Bastia. Lequel, contre toute attente, validait en décembre 2014 les arrêtés préfectoraux.</w:t>
      </w:r>
    </w:p>
    <w:p w14:paraId="6C2C0AF9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Les GRM ont alors fait appel, avec, compte-tenu des enjeux, le soutien total du CODEVER.</w:t>
      </w:r>
    </w:p>
    <w:p w14:paraId="70ADF3EE" w14:textId="77777777" w:rsidR="00534893" w:rsidRPr="00E7435A" w:rsidRDefault="00534893" w:rsidP="00534893">
      <w:pPr>
        <w:spacing w:before="240" w:after="120" w:line="240" w:lineRule="auto"/>
        <w:jc w:val="both"/>
        <w:rPr>
          <w:rFonts w:ascii="Futura Std Book" w:hAnsi="Futura Std Book"/>
          <w:b/>
          <w:color w:val="2C4751"/>
          <w:sz w:val="20"/>
          <w:szCs w:val="20"/>
        </w:rPr>
      </w:pPr>
      <w:r>
        <w:rPr>
          <w:rFonts w:ascii="Futura Std Book" w:hAnsi="Futura Std Book"/>
          <w:b/>
          <w:color w:val="2C4751"/>
          <w:sz w:val="20"/>
          <w:szCs w:val="20"/>
        </w:rPr>
        <w:t>Que dit l’arrêt ?</w:t>
      </w:r>
    </w:p>
    <w:p w14:paraId="5C73ECDE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La Cour d’Appel s’est visiblement appuyé sur l’arrêt du Conseil d’Etat que nous avions obtenu en 2008</w:t>
      </w:r>
      <w:r>
        <w:rPr>
          <w:rStyle w:val="Appeldenotedefin"/>
          <w:rFonts w:ascii="Futura Std Book" w:hAnsi="Futura Std Book"/>
          <w:color w:val="2C4751"/>
          <w:sz w:val="20"/>
          <w:szCs w:val="20"/>
        </w:rPr>
        <w:endnoteReference w:id="1"/>
      </w:r>
      <w:r>
        <w:rPr>
          <w:rFonts w:ascii="Futura Std Book" w:hAnsi="Futura Std Book"/>
          <w:color w:val="2C4751"/>
          <w:sz w:val="20"/>
          <w:szCs w:val="20"/>
        </w:rPr>
        <w:t xml:space="preserve"> pour renvoyer sur le banc de touche le TA de Bastia et les deux préfets.</w:t>
      </w:r>
    </w:p>
    <w:p w14:paraId="6652E0C8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Pour fonder sa décision, la Cour a retenu :</w:t>
      </w:r>
    </w:p>
    <w:p w14:paraId="14863439" w14:textId="77777777" w:rsidR="00534893" w:rsidRPr="00AE6A29" w:rsidRDefault="00534893" w:rsidP="00534893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proofErr w:type="gramStart"/>
      <w:r>
        <w:rPr>
          <w:rFonts w:ascii="Futura Std Book" w:hAnsi="Futura Std Book"/>
          <w:color w:val="2C4751"/>
          <w:sz w:val="20"/>
          <w:szCs w:val="20"/>
        </w:rPr>
        <w:t>l</w:t>
      </w:r>
      <w:r w:rsidRPr="00AE6A29">
        <w:rPr>
          <w:rFonts w:ascii="Futura Std Book" w:hAnsi="Futura Std Book"/>
          <w:color w:val="2C4751"/>
          <w:sz w:val="20"/>
          <w:szCs w:val="20"/>
        </w:rPr>
        <w:t>e</w:t>
      </w:r>
      <w:proofErr w:type="gramEnd"/>
      <w:r w:rsidRPr="00AE6A29">
        <w:rPr>
          <w:rFonts w:ascii="Futura Std Book" w:hAnsi="Futura Std Book"/>
          <w:color w:val="2C4751"/>
          <w:sz w:val="20"/>
          <w:szCs w:val="20"/>
        </w:rPr>
        <w:t xml:space="preserve"> faible nombre de véhicules participants et le départ échelonné de ceux-ci entraina</w:t>
      </w:r>
      <w:r>
        <w:rPr>
          <w:rFonts w:ascii="Futura Std Book" w:hAnsi="Futura Std Book"/>
          <w:color w:val="2C4751"/>
          <w:sz w:val="20"/>
          <w:szCs w:val="20"/>
        </w:rPr>
        <w:t>nt</w:t>
      </w:r>
      <w:r w:rsidRPr="00AE6A29">
        <w:rPr>
          <w:rFonts w:ascii="Futura Std Book" w:hAnsi="Futura Std Book"/>
          <w:color w:val="2C4751"/>
          <w:sz w:val="20"/>
          <w:szCs w:val="20"/>
        </w:rPr>
        <w:t xml:space="preserve"> </w:t>
      </w:r>
      <w:r w:rsidRPr="002E4F75">
        <w:rPr>
          <w:rFonts w:ascii="Futura Std Book" w:hAnsi="Futura Std Book"/>
          <w:i/>
          <w:color w:val="2C4751"/>
          <w:sz w:val="20"/>
          <w:szCs w:val="20"/>
        </w:rPr>
        <w:t>« un espacement des départs »</w:t>
      </w:r>
      <w:r w:rsidRPr="00AE6A29">
        <w:rPr>
          <w:rFonts w:ascii="Futura Std Book" w:hAnsi="Futura Std Book"/>
          <w:color w:val="2C4751"/>
          <w:sz w:val="20"/>
          <w:szCs w:val="20"/>
        </w:rPr>
        <w:t xml:space="preserve"> qui </w:t>
      </w:r>
      <w:r w:rsidRPr="002E4F75">
        <w:rPr>
          <w:rFonts w:ascii="Futura Std Book" w:hAnsi="Futura Std Book"/>
          <w:i/>
          <w:color w:val="2C4751"/>
          <w:sz w:val="20"/>
          <w:szCs w:val="20"/>
        </w:rPr>
        <w:t>« permettait d'éviter que plusieurs véhicules ne circulent de manière groupée »</w:t>
      </w:r>
      <w:r w:rsidRPr="00AE6A29">
        <w:rPr>
          <w:rFonts w:ascii="Futura Std Book" w:hAnsi="Futura Std Book"/>
          <w:color w:val="2C4751"/>
          <w:sz w:val="20"/>
          <w:szCs w:val="20"/>
        </w:rPr>
        <w:t> ;</w:t>
      </w:r>
    </w:p>
    <w:p w14:paraId="7B8E20D5" w14:textId="77777777" w:rsidR="00534893" w:rsidRPr="00C76A86" w:rsidRDefault="00534893" w:rsidP="00534893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proofErr w:type="gramStart"/>
      <w:r>
        <w:rPr>
          <w:rFonts w:ascii="Futura Std Book" w:hAnsi="Futura Std Book"/>
          <w:color w:val="2C4751"/>
          <w:sz w:val="20"/>
          <w:szCs w:val="20"/>
        </w:rPr>
        <w:t>l</w:t>
      </w:r>
      <w:r w:rsidRPr="00AE6A29">
        <w:rPr>
          <w:rFonts w:ascii="Futura Std Book" w:hAnsi="Futura Std Book"/>
          <w:color w:val="2C4751"/>
          <w:sz w:val="20"/>
          <w:szCs w:val="20"/>
        </w:rPr>
        <w:t>’</w:t>
      </w:r>
      <w:r>
        <w:rPr>
          <w:rFonts w:ascii="Futura Std Book" w:hAnsi="Futura Std Book"/>
          <w:color w:val="2C4751"/>
          <w:sz w:val="20"/>
          <w:szCs w:val="20"/>
        </w:rPr>
        <w:t>absence</w:t>
      </w:r>
      <w:proofErr w:type="gramEnd"/>
      <w:r w:rsidRPr="00AE6A29">
        <w:rPr>
          <w:rFonts w:ascii="Futura Std Book" w:hAnsi="Futura Std Book"/>
          <w:color w:val="2C4751"/>
          <w:sz w:val="20"/>
          <w:szCs w:val="20"/>
        </w:rPr>
        <w:t xml:space="preserve"> de </w:t>
      </w:r>
      <w:r w:rsidRPr="002E4F75">
        <w:rPr>
          <w:rFonts w:ascii="Futura Std Book" w:hAnsi="Futura Std Book"/>
          <w:i/>
          <w:color w:val="2C4751"/>
          <w:sz w:val="20"/>
          <w:szCs w:val="20"/>
        </w:rPr>
        <w:t>« points de rassemblement ou de passage imposés</w:t>
      </w:r>
      <w:r>
        <w:rPr>
          <w:rFonts w:ascii="Futura Std Book" w:hAnsi="Futura Std Book"/>
          <w:color w:val="2C4751"/>
          <w:sz w:val="20"/>
          <w:szCs w:val="20"/>
        </w:rPr>
        <w:t> »</w:t>
      </w:r>
      <w:r w:rsidRPr="00AE6A29">
        <w:rPr>
          <w:rFonts w:ascii="Futura Std Book" w:hAnsi="Futura Std Book"/>
          <w:color w:val="2C4751"/>
          <w:sz w:val="20"/>
          <w:szCs w:val="20"/>
        </w:rPr>
        <w:t>, bien que la randonnée s’effectue à l’aide d’un road-book.</w:t>
      </w:r>
    </w:p>
    <w:p w14:paraId="168E7914" w14:textId="77777777" w:rsidR="00534893" w:rsidRPr="00F7054E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 xml:space="preserve">Fort logiquement, la Cour a conclu </w:t>
      </w:r>
      <w:r w:rsidRPr="00E7435A">
        <w:rPr>
          <w:rFonts w:ascii="Futura Std Book" w:hAnsi="Futura Std Book"/>
          <w:i/>
          <w:color w:val="2C4751"/>
          <w:sz w:val="20"/>
          <w:szCs w:val="20"/>
        </w:rPr>
        <w:t>« que, dans ces conditions, en l'absence de circulation groupée et de points de rassemblement ou de passage imposés, le regroupement de véhicules en cause ne pouvait être regardé comme répondant à la définition d'une concentration de véhicules au sens de l'article L. 331-18 du code du sport susceptible d'avoir une incidence sur les conditions de circulation et sur la sécurité des usagers des voies et soumise, comme telle, à déclaration. »</w:t>
      </w:r>
    </w:p>
    <w:p w14:paraId="72C7A4BE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Propos qui viennent confirmer le bien fondé des recommandations que nous formulons depuis 2008.</w:t>
      </w:r>
    </w:p>
    <w:p w14:paraId="7007FADE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  <w:r>
        <w:rPr>
          <w:rFonts w:ascii="Futura Std Book" w:hAnsi="Futura Std Book"/>
          <w:color w:val="2C4751"/>
          <w:sz w:val="20"/>
          <w:szCs w:val="20"/>
        </w:rPr>
        <w:t>Le CODEVER se félicite de cette décision qui va, à n’en pas douter, simplifier la vie des organisateurs de randonnée. A moins que le Ministère des Sports ne se fende d’un pourvoi devant le Conseil d’Etat…</w:t>
      </w:r>
    </w:p>
    <w:p w14:paraId="7D2FFB93" w14:textId="77777777" w:rsidR="00534893" w:rsidRDefault="00534893" w:rsidP="00534893">
      <w:pPr>
        <w:spacing w:after="120" w:line="240" w:lineRule="auto"/>
        <w:jc w:val="both"/>
        <w:rPr>
          <w:rFonts w:ascii="Futura Std Book" w:hAnsi="Futura Std Book"/>
          <w:color w:val="2C4751"/>
          <w:sz w:val="20"/>
          <w:szCs w:val="20"/>
        </w:rPr>
      </w:pPr>
    </w:p>
    <w:p w14:paraId="34D32A05" w14:textId="77777777" w:rsidR="00AC1F2E" w:rsidRDefault="00AC1F2E"/>
    <w:sectPr w:rsidR="00AC1F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CEFFB" w14:textId="77777777" w:rsidR="00534893" w:rsidRDefault="00534893" w:rsidP="00A71E59">
      <w:pPr>
        <w:spacing w:after="0" w:line="240" w:lineRule="auto"/>
      </w:pPr>
      <w:r>
        <w:separator/>
      </w:r>
    </w:p>
  </w:endnote>
  <w:endnote w:type="continuationSeparator" w:id="0">
    <w:p w14:paraId="2193A645" w14:textId="77777777" w:rsidR="00534893" w:rsidRDefault="00534893" w:rsidP="00A71E59">
      <w:pPr>
        <w:spacing w:after="0" w:line="240" w:lineRule="auto"/>
      </w:pPr>
      <w:r>
        <w:continuationSeparator/>
      </w:r>
    </w:p>
  </w:endnote>
  <w:endnote w:id="1">
    <w:p w14:paraId="414AF8B5" w14:textId="77777777" w:rsidR="00534893" w:rsidRPr="00F61D03" w:rsidRDefault="00534893" w:rsidP="00534893">
      <w:pPr>
        <w:pStyle w:val="Notedefin"/>
        <w:rPr>
          <w:rFonts w:ascii="Futura Std Book" w:hAnsi="Futura Std Book"/>
          <w:i/>
        </w:rPr>
      </w:pPr>
      <w:r w:rsidRPr="00F61D03">
        <w:rPr>
          <w:rStyle w:val="Appeldenotedefin"/>
          <w:rFonts w:ascii="Futura Std Book" w:hAnsi="Futura Std Book"/>
          <w:i/>
        </w:rPr>
        <w:endnoteRef/>
      </w:r>
      <w:r w:rsidRPr="00F61D03">
        <w:rPr>
          <w:rFonts w:ascii="Futura Std Book" w:hAnsi="Futura Std Book"/>
          <w:i/>
        </w:rPr>
        <w:t xml:space="preserve"> Lire notre article complet sur codever.fr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Gadugi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utura PT Book">
    <w:altName w:val="Arial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3BA66" w14:textId="77777777" w:rsidR="00534893" w:rsidRDefault="00534893" w:rsidP="00A71E59">
      <w:pPr>
        <w:spacing w:after="0" w:line="240" w:lineRule="auto"/>
      </w:pPr>
      <w:r>
        <w:separator/>
      </w:r>
    </w:p>
  </w:footnote>
  <w:footnote w:type="continuationSeparator" w:id="0">
    <w:p w14:paraId="0DB35604" w14:textId="77777777" w:rsidR="00534893" w:rsidRDefault="00534893" w:rsidP="00A7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4A41" w14:textId="77777777" w:rsidR="00A71E59" w:rsidRDefault="00534893">
    <w:pPr>
      <w:pStyle w:val="En-tte"/>
    </w:pPr>
    <w:r w:rsidRPr="00F401E5">
      <w:rPr>
        <w:rFonts w:ascii="Futura PT Book" w:hAnsi="Futura PT Book"/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9C1400" wp14:editId="5CB84147">
              <wp:simplePos x="0" y="0"/>
              <wp:positionH relativeFrom="margin">
                <wp:posOffset>3188473</wp:posOffset>
              </wp:positionH>
              <wp:positionV relativeFrom="paragraph">
                <wp:posOffset>-161621</wp:posOffset>
              </wp:positionV>
              <wp:extent cx="2860675" cy="1240155"/>
              <wp:effectExtent l="0" t="0" r="0" b="0"/>
              <wp:wrapSquare wrapText="bothSides"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240155"/>
                      </a:xfrm>
                      <a:prstGeom prst="rect">
                        <a:avLst/>
                      </a:prstGeom>
                      <a:noFill/>
                      <a:ln w="41275" cap="rnd" cmpd="thinThick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DCD17CC" w14:textId="77777777" w:rsidR="00534893" w:rsidRPr="001E1D6D" w:rsidRDefault="00534893" w:rsidP="00534893">
                          <w:pPr>
                            <w:spacing w:after="0"/>
                            <w:jc w:val="center"/>
                            <w:rPr>
                              <w:rFonts w:ascii="Amatic SC" w:hAnsi="Amatic SC"/>
                              <w:b/>
                              <w:color w:val="2C4751"/>
                              <w:sz w:val="44"/>
                              <w:szCs w:val="44"/>
                            </w:rPr>
                          </w:pPr>
                          <w:r w:rsidRPr="001E1D6D">
                            <w:rPr>
                              <w:rFonts w:ascii="Amatic SC" w:hAnsi="Amatic SC"/>
                              <w:b/>
                              <w:color w:val="2C4751"/>
                              <w:sz w:val="44"/>
                              <w:szCs w:val="44"/>
                            </w:rPr>
                            <w:t>Communiqué de presse</w:t>
                          </w:r>
                        </w:p>
                        <w:p w14:paraId="1016AB61" w14:textId="77777777" w:rsidR="00534893" w:rsidRPr="001E1D6D" w:rsidRDefault="00534893" w:rsidP="00534893">
                          <w:pPr>
                            <w:spacing w:after="0"/>
                            <w:jc w:val="center"/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>29 septembre</w:t>
                          </w:r>
                          <w:r w:rsidRPr="001E1D6D"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 xml:space="preserve"> 2016</w:t>
                          </w:r>
                        </w:p>
                        <w:p w14:paraId="50B9598A" w14:textId="77777777" w:rsidR="00534893" w:rsidRDefault="00534893" w:rsidP="00534893">
                          <w:pPr>
                            <w:spacing w:after="0" w:line="240" w:lineRule="auto"/>
                            <w:jc w:val="center"/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</w:pPr>
                          <w:r w:rsidRPr="001E1D6D"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>Contact :</w:t>
                          </w:r>
                          <w:r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 xml:space="preserve"> Charles Péot au </w:t>
                          </w:r>
                          <w:r w:rsidRPr="001E1D6D"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>09 650 444 76</w:t>
                          </w:r>
                        </w:p>
                        <w:p w14:paraId="71ACF0E6" w14:textId="77777777" w:rsidR="00534893" w:rsidRPr="001E1D6D" w:rsidRDefault="00534893" w:rsidP="00534893">
                          <w:pPr>
                            <w:spacing w:after="0" w:line="240" w:lineRule="auto"/>
                            <w:jc w:val="center"/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</w:pPr>
                          <w:r w:rsidRPr="001E1D6D"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 xml:space="preserve"> 06 42 19 90 11</w:t>
                          </w:r>
                        </w:p>
                        <w:p w14:paraId="12A2ABBB" w14:textId="77777777" w:rsidR="00534893" w:rsidRPr="001E1D6D" w:rsidRDefault="00534893" w:rsidP="00534893">
                          <w:pPr>
                            <w:jc w:val="center"/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C140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51.05pt;margin-top:-12.75pt;width:225.25pt;height:9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" filled="f" stroked="f" strokeweight="3.25pt">
              <v:stroke linestyle="thinThick" endcap="round"/>
              <v:textbox>
                <w:txbxContent>
                  <w:p w14:paraId="0DCD17CC" w14:textId="77777777" w:rsidR="00534893" w:rsidRPr="001E1D6D" w:rsidRDefault="00534893" w:rsidP="00534893">
                    <w:pPr>
                      <w:spacing w:after="0"/>
                      <w:jc w:val="center"/>
                      <w:rPr>
                        <w:rFonts w:ascii="Amatic SC" w:hAnsi="Amatic SC"/>
                        <w:b/>
                        <w:color w:val="2C4751"/>
                        <w:sz w:val="44"/>
                        <w:szCs w:val="44"/>
                      </w:rPr>
                    </w:pPr>
                    <w:r w:rsidRPr="001E1D6D">
                      <w:rPr>
                        <w:rFonts w:ascii="Amatic SC" w:hAnsi="Amatic SC"/>
                        <w:b/>
                        <w:color w:val="2C4751"/>
                        <w:sz w:val="44"/>
                        <w:szCs w:val="44"/>
                      </w:rPr>
                      <w:t>Communiqué de presse</w:t>
                    </w:r>
                  </w:p>
                  <w:p w14:paraId="1016AB61" w14:textId="77777777" w:rsidR="00534893" w:rsidRPr="001E1D6D" w:rsidRDefault="00534893" w:rsidP="00534893">
                    <w:pPr>
                      <w:spacing w:after="0"/>
                      <w:jc w:val="center"/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</w:pPr>
                    <w:r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>29 septembre</w:t>
                    </w:r>
                    <w:r w:rsidRPr="001E1D6D"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 xml:space="preserve"> 2016</w:t>
                    </w:r>
                  </w:p>
                  <w:p w14:paraId="50B9598A" w14:textId="77777777" w:rsidR="00534893" w:rsidRDefault="00534893" w:rsidP="00534893">
                    <w:pPr>
                      <w:spacing w:after="0" w:line="240" w:lineRule="auto"/>
                      <w:jc w:val="center"/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</w:pPr>
                    <w:r w:rsidRPr="001E1D6D"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>Contact :</w:t>
                    </w:r>
                    <w:r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 xml:space="preserve"> Charles Péot au </w:t>
                    </w:r>
                    <w:r w:rsidRPr="001E1D6D"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>09 650 444 76</w:t>
                    </w:r>
                  </w:p>
                  <w:p w14:paraId="71ACF0E6" w14:textId="77777777" w:rsidR="00534893" w:rsidRPr="001E1D6D" w:rsidRDefault="00534893" w:rsidP="00534893">
                    <w:pPr>
                      <w:spacing w:after="0" w:line="240" w:lineRule="auto"/>
                      <w:jc w:val="center"/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</w:pPr>
                    <w:r w:rsidRPr="001E1D6D"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 xml:space="preserve"> </w:t>
                    </w:r>
                    <w:proofErr w:type="gramStart"/>
                    <w:r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>ou</w:t>
                    </w:r>
                    <w:proofErr w:type="gramEnd"/>
                    <w:r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 xml:space="preserve"> 06 42 19 90 11</w:t>
                    </w:r>
                  </w:p>
                  <w:p w14:paraId="12A2ABBB" w14:textId="77777777" w:rsidR="00534893" w:rsidRPr="001E1D6D" w:rsidRDefault="00534893" w:rsidP="00534893">
                    <w:pPr>
                      <w:jc w:val="center"/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71E59"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23AD359C" wp14:editId="46EE5BF7">
          <wp:simplePos x="0" y="0"/>
          <wp:positionH relativeFrom="page">
            <wp:posOffset>-28575</wp:posOffset>
          </wp:positionH>
          <wp:positionV relativeFrom="page">
            <wp:posOffset>-38735</wp:posOffset>
          </wp:positionV>
          <wp:extent cx="7581265" cy="107207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te-de-lettre-CODE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0D6"/>
    <w:multiLevelType w:val="hybridMultilevel"/>
    <w:tmpl w:val="C010E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93"/>
    <w:rsid w:val="00534893"/>
    <w:rsid w:val="00A71E59"/>
    <w:rsid w:val="00AC1F2E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A81DE"/>
  <w15:chartTrackingRefBased/>
  <w15:docId w15:val="{3B13B329-8BAC-4095-B80A-A96CE0EF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489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E59"/>
  </w:style>
  <w:style w:type="paragraph" w:styleId="Pieddepage">
    <w:name w:val="footer"/>
    <w:basedOn w:val="Normal"/>
    <w:link w:val="PieddepageCar"/>
    <w:uiPriority w:val="99"/>
    <w:unhideWhenUsed/>
    <w:rsid w:val="00A7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E59"/>
  </w:style>
  <w:style w:type="paragraph" w:styleId="Corpsdetexte">
    <w:name w:val="Body Text"/>
    <w:basedOn w:val="Normal"/>
    <w:next w:val="Normal"/>
    <w:link w:val="CorpsdetexteCar"/>
    <w:uiPriority w:val="99"/>
    <w:rsid w:val="00534893"/>
    <w:pPr>
      <w:widowControl w:val="0"/>
      <w:autoSpaceDE w:val="0"/>
      <w:autoSpaceDN w:val="0"/>
      <w:adjustRightInd w:val="0"/>
      <w:spacing w:after="0" w:line="240" w:lineRule="auto"/>
      <w:ind w:left="6451"/>
    </w:pPr>
    <w:rPr>
      <w:rFonts w:eastAsia="Times New Roman" w:cs="Calibri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534893"/>
    <w:rPr>
      <w:rFonts w:ascii="Calibri" w:eastAsia="Times New Roman" w:hAnsi="Calibri" w:cs="Calibri"/>
      <w:lang w:eastAsia="zh-CN"/>
    </w:rPr>
  </w:style>
  <w:style w:type="paragraph" w:styleId="Paragraphedeliste">
    <w:name w:val="List Paragraph"/>
    <w:basedOn w:val="Normal"/>
    <w:uiPriority w:val="34"/>
    <w:qFormat/>
    <w:rsid w:val="00534893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53489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893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4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es%20P&#233;ot\Documents\Mod&#232;les%20Office%20personnalis&#233;s\Mod&#232;le%20Entete-courrier_Codever_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F08D-B63F-404B-8006-C52E77A6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Entete-courrier_Codever_2016</Template>
  <TotalTime>2</TotalTime>
  <Pages>1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Péot</dc:creator>
  <cp:keywords/>
  <dc:description/>
  <cp:lastModifiedBy>Charles Péot</cp:lastModifiedBy>
  <cp:revision>1</cp:revision>
  <dcterms:created xsi:type="dcterms:W3CDTF">2016-09-29T08:42:00Z</dcterms:created>
  <dcterms:modified xsi:type="dcterms:W3CDTF">2016-09-29T08:44:00Z</dcterms:modified>
</cp:coreProperties>
</file>